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C8" w:rsidRDefault="00426EC8" w:rsidP="00426EC8">
      <w:p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</w:p>
    <w:p w:rsidR="000B6557" w:rsidRDefault="000B6557" w:rsidP="00426EC8">
      <w:pPr>
        <w:spacing w:after="0" w:line="240" w:lineRule="auto"/>
        <w:jc w:val="both"/>
        <w:rPr>
          <w:rFonts w:ascii="Book Antiqua" w:hAnsi="Book Antiqua" w:cs="Times New Roman"/>
          <w:spacing w:val="-4"/>
          <w:sz w:val="24"/>
          <w:szCs w:val="24"/>
        </w:rPr>
      </w:pPr>
      <w:bookmarkStart w:id="0" w:name="_GoBack"/>
    </w:p>
    <w:tbl>
      <w:tblPr>
        <w:tblStyle w:val="Grigliatabella"/>
        <w:tblW w:w="0" w:type="auto"/>
        <w:tblInd w:w="2376" w:type="dxa"/>
        <w:tblLook w:val="04A0" w:firstRow="1" w:lastRow="0" w:firstColumn="1" w:lastColumn="0" w:noHBand="0" w:noVBand="1"/>
      </w:tblPr>
      <w:tblGrid>
        <w:gridCol w:w="4820"/>
      </w:tblGrid>
      <w:tr w:rsidR="000B6557" w:rsidTr="000B6557">
        <w:tc>
          <w:tcPr>
            <w:tcW w:w="4820" w:type="dxa"/>
          </w:tcPr>
          <w:p w:rsidR="000B6557" w:rsidRDefault="000B6557" w:rsidP="00426EC8">
            <w:pPr>
              <w:jc w:val="center"/>
              <w:rPr>
                <w:b/>
              </w:rPr>
            </w:pPr>
            <w:r>
              <w:rPr>
                <w:b/>
              </w:rPr>
              <w:t>Intestazione Ufficio</w:t>
            </w:r>
          </w:p>
        </w:tc>
      </w:tr>
    </w:tbl>
    <w:p w:rsidR="00426EC8" w:rsidRDefault="00426EC8" w:rsidP="00426EC8">
      <w:pPr>
        <w:jc w:val="center"/>
        <w:rPr>
          <w:b/>
          <w:sz w:val="24"/>
        </w:rPr>
      </w:pPr>
      <w:r w:rsidRPr="004D3310">
        <w:rPr>
          <w:b/>
        </w:rPr>
        <w:object w:dxaOrig="9451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8.25pt" o:ole="" fillcolor="window">
            <v:imagedata r:id="rId5" o:title=""/>
          </v:shape>
          <o:OLEObject Type="Embed" ProgID="Word.Picture.8" ShapeID="_x0000_i1025" DrawAspect="Content" ObjectID="_1644765515" r:id="rId6"/>
        </w:object>
      </w:r>
    </w:p>
    <w:bookmarkEnd w:id="0"/>
    <w:p w:rsidR="000B6557" w:rsidRDefault="000B6557" w:rsidP="00426EC8">
      <w:pPr>
        <w:ind w:left="1418" w:hanging="1418"/>
        <w:jc w:val="both"/>
        <w:rPr>
          <w:rFonts w:ascii="Book Antiqua" w:hAnsi="Book Antiqua"/>
          <w:spacing w:val="-4"/>
          <w:sz w:val="24"/>
          <w:szCs w:val="24"/>
        </w:rPr>
      </w:pPr>
    </w:p>
    <w:p w:rsidR="00426EC8" w:rsidRDefault="00426EC8" w:rsidP="00426EC8">
      <w:pPr>
        <w:ind w:left="1418" w:hanging="1418"/>
        <w:jc w:val="both"/>
        <w:rPr>
          <w:rFonts w:ascii="Book Antiqua" w:hAnsi="Book Antiqua"/>
          <w:spacing w:val="-4"/>
          <w:sz w:val="24"/>
          <w:szCs w:val="24"/>
        </w:rPr>
      </w:pPr>
      <w:proofErr w:type="gramStart"/>
      <w:r w:rsidRPr="00426EC8">
        <w:rPr>
          <w:rFonts w:ascii="Book Antiqua" w:hAnsi="Book Antiqua"/>
          <w:spacing w:val="-4"/>
          <w:sz w:val="24"/>
          <w:szCs w:val="24"/>
        </w:rPr>
        <w:t>VERBALE :</w:t>
      </w:r>
      <w:proofErr w:type="gramEnd"/>
      <w:r w:rsidRPr="00426EC8">
        <w:rPr>
          <w:rFonts w:ascii="Book Antiqua" w:hAnsi="Book Antiqua"/>
          <w:spacing w:val="-4"/>
          <w:sz w:val="24"/>
          <w:szCs w:val="24"/>
        </w:rPr>
        <w:t xml:space="preserve">   di   comunicazione  scritta  per  l’ARRESTATO– ex art. 293  c.p.p.-  in  ESECUZIONE ORDINANZA CUSTODIA  CAUTELARE   relativo a :--/</w:t>
      </w:r>
    </w:p>
    <w:p w:rsidR="00426EC8" w:rsidRPr="00426EC8" w:rsidRDefault="00426EC8" w:rsidP="00426EC8">
      <w:pPr>
        <w:pStyle w:val="Paragrafoelenco"/>
        <w:numPr>
          <w:ilvl w:val="0"/>
          <w:numId w:val="5"/>
        </w:numPr>
        <w:spacing w:line="240" w:lineRule="auto"/>
        <w:ind w:left="1843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26EC8" w:rsidRDefault="00426EC8" w:rsidP="00426EC8">
      <w:pPr>
        <w:spacing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^^^^^^^^^^^^^^^^^^^^^^^^^^^^^^^^^^^^^^^^^^^^^^^^^^^^^^^^^^^^^^^^^</w:t>
      </w:r>
    </w:p>
    <w:p w:rsidR="00426EC8" w:rsidRDefault="00426EC8" w:rsidP="00426EC8">
      <w:pPr>
        <w:spacing w:line="240" w:lineRule="auto"/>
        <w:jc w:val="both"/>
        <w:rPr>
          <w:rFonts w:ascii="Book Antiqua" w:hAnsi="Book Antiqua"/>
          <w:spacing w:val="-4"/>
          <w:sz w:val="24"/>
          <w:szCs w:val="24"/>
          <w:lang w:eastAsia="zh-CN"/>
        </w:rPr>
      </w:pPr>
      <w:r>
        <w:rPr>
          <w:rFonts w:ascii="Book Antiqua" w:hAnsi="Book Antiqua"/>
          <w:spacing w:val="-4"/>
          <w:sz w:val="24"/>
          <w:szCs w:val="24"/>
        </w:rPr>
        <w:t xml:space="preserve">Il giorno __________ alle ore ______, negli Uffici del __________________________________, </w:t>
      </w:r>
    </w:p>
    <w:p w:rsidR="00426EC8" w:rsidRDefault="00426EC8" w:rsidP="00426EC8">
      <w:pPr>
        <w:spacing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noi sottoscritti Ufficiali e Agenti di polizia giudiziaria ___________________________________________________________________________________diamo atto di aver proceduto alla consegna della presente comunicazione a ___________________________________________, con la quale viene informato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, ai sensi </w:t>
      </w:r>
      <w:r>
        <w:rPr>
          <w:rFonts w:ascii="Book Antiqua" w:hAnsi="Book Antiqua"/>
          <w:spacing w:val="-4"/>
          <w:sz w:val="24"/>
          <w:szCs w:val="24"/>
        </w:rPr>
        <w:t xml:space="preserve">dell’art. 293 del c.p.p., di diritti e </w:t>
      </w:r>
      <w:r w:rsidRPr="00ED7E25">
        <w:rPr>
          <w:rFonts w:ascii="Book Antiqua" w:hAnsi="Book Antiqua"/>
          <w:spacing w:val="-4"/>
          <w:sz w:val="24"/>
          <w:szCs w:val="24"/>
        </w:rPr>
        <w:t>facoltà</w:t>
      </w:r>
      <w:r>
        <w:rPr>
          <w:rFonts w:ascii="Book Antiqua" w:hAnsi="Book Antiqua"/>
          <w:spacing w:val="-4"/>
          <w:sz w:val="24"/>
          <w:szCs w:val="24"/>
        </w:rPr>
        <w:t xml:space="preserve"> del</w:t>
      </w:r>
      <w:r w:rsidRPr="00010DA5">
        <w:rPr>
          <w:rFonts w:ascii="Book Antiqua" w:hAnsi="Book Antiqua"/>
          <w:spacing w:val="-4"/>
          <w:sz w:val="24"/>
          <w:szCs w:val="24"/>
        </w:rPr>
        <w:t>l’imputato nei confronti del quale si esegue un’ordinanza di custodia cautelare</w:t>
      </w:r>
      <w:r>
        <w:rPr>
          <w:rFonts w:ascii="Book Antiqua" w:hAnsi="Book Antiqua"/>
          <w:spacing w:val="-4"/>
          <w:sz w:val="24"/>
          <w:szCs w:val="24"/>
        </w:rPr>
        <w:t>:</w:t>
      </w:r>
      <w:r w:rsidRPr="00ED7E25">
        <w:rPr>
          <w:rFonts w:ascii="Book Antiqua" w:hAnsi="Book Antiqua"/>
          <w:spacing w:val="-4"/>
          <w:sz w:val="24"/>
          <w:szCs w:val="24"/>
        </w:rPr>
        <w:t xml:space="preserve"> </w:t>
      </w:r>
    </w:p>
    <w:p w:rsidR="00426EC8" w:rsidRPr="00ED7E25" w:rsidRDefault="00426EC8" w:rsidP="00426E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facoltà di nominare un difensore di fiducia e di essere ammesso al patrocinio a spese dello Stato nei casi previsti dalla legge; </w:t>
      </w:r>
    </w:p>
    <w:p w:rsidR="00426EC8" w:rsidRPr="00ED7E25" w:rsidRDefault="00426EC8" w:rsidP="00426E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di ottenere informazioni in merito all’accusa;</w:t>
      </w:r>
    </w:p>
    <w:p w:rsidR="00426EC8" w:rsidRPr="00ED7E25" w:rsidRDefault="00426EC8" w:rsidP="00426E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>diritto all’interprete ed alla traduzione di atti fondamentali;</w:t>
      </w:r>
    </w:p>
    <w:p w:rsidR="00426EC8" w:rsidRPr="00ED7E25" w:rsidRDefault="00426EC8" w:rsidP="00426EC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pacing w:val="-4"/>
          <w:sz w:val="24"/>
          <w:szCs w:val="24"/>
        </w:rPr>
      </w:pPr>
      <w:r w:rsidRPr="00ED7E25">
        <w:rPr>
          <w:rFonts w:ascii="Book Antiqua" w:hAnsi="Book Antiqua"/>
          <w:spacing w:val="-4"/>
          <w:sz w:val="24"/>
          <w:szCs w:val="24"/>
        </w:rPr>
        <w:t xml:space="preserve">diritto di avvalersi della facoltà di non rispondere; </w:t>
      </w:r>
    </w:p>
    <w:p w:rsidR="00426EC8" w:rsidRPr="0047087C" w:rsidRDefault="00426EC8" w:rsidP="00426E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accedere agli atti sui quali si fonda il provvedimento;</w:t>
      </w:r>
    </w:p>
    <w:p w:rsidR="00426EC8" w:rsidRPr="0047087C" w:rsidRDefault="00426EC8" w:rsidP="00426E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informare le autorità consolari e di dare avviso ai familiari; </w:t>
      </w:r>
    </w:p>
    <w:p w:rsidR="00426EC8" w:rsidRPr="0047087C" w:rsidRDefault="00426EC8" w:rsidP="00426E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 xml:space="preserve">diritto di accedere all’assistenza medica di urgenza; </w:t>
      </w:r>
    </w:p>
    <w:p w:rsidR="00426EC8" w:rsidRDefault="00426EC8" w:rsidP="00426E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essere condotto davanti all’autorità giudiziaria non oltre cinque giorni dall’inizio dell’esecuzione, se la misura applicata è quella della custodia cautelare in carcere ovvero non oltre dieci giorni se la persona è sottoposta ad altra misura cautelare;</w:t>
      </w:r>
    </w:p>
    <w:p w:rsidR="00426EC8" w:rsidRDefault="00426EC8" w:rsidP="00426EC8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Book Antiqua" w:hAnsi="Book Antiqua"/>
          <w:spacing w:val="-4"/>
          <w:sz w:val="24"/>
          <w:szCs w:val="24"/>
        </w:rPr>
      </w:pPr>
      <w:r w:rsidRPr="0047087C">
        <w:rPr>
          <w:rFonts w:ascii="Book Antiqua" w:hAnsi="Book Antiqua"/>
          <w:spacing w:val="-4"/>
          <w:sz w:val="24"/>
          <w:szCs w:val="24"/>
        </w:rPr>
        <w:t>diritto di comparire dinanzi al giudice per rendere l’interrogatorio, di impugnare l’ordinanza che dispone la misura cautelare e di richiederne la sostituzione o la revoca.</w:t>
      </w:r>
    </w:p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426EC8" w:rsidRPr="00426EC8" w:rsidRDefault="00426EC8" w:rsidP="00426EC8">
      <w:pPr>
        <w:pStyle w:val="Paragrafoelenco"/>
        <w:numPr>
          <w:ilvl w:val="0"/>
          <w:numId w:val="6"/>
        </w:numPr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SEGUE -</w:t>
      </w:r>
    </w:p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426EC8" w:rsidRDefault="00426EC8" w:rsidP="00426EC8">
      <w:pPr>
        <w:ind w:left="357"/>
        <w:jc w:val="center"/>
        <w:rPr>
          <w:rFonts w:ascii="Book Antiqua" w:hAnsi="Book Antiqua"/>
          <w:spacing w:val="-4"/>
          <w:sz w:val="24"/>
          <w:szCs w:val="24"/>
        </w:rPr>
      </w:pPr>
      <w:r>
        <w:rPr>
          <w:rFonts w:ascii="Book Antiqua" w:hAnsi="Book Antiqua"/>
          <w:spacing w:val="-4"/>
          <w:sz w:val="24"/>
          <w:szCs w:val="24"/>
        </w:rPr>
        <w:t>PAGINA NR. 2</w:t>
      </w:r>
    </w:p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9497"/>
      </w:tblGrid>
      <w:tr w:rsidR="00426EC8" w:rsidTr="00426EC8">
        <w:tc>
          <w:tcPr>
            <w:tcW w:w="9778" w:type="dxa"/>
          </w:tcPr>
          <w:p w:rsidR="00426EC8" w:rsidRPr="0069126B" w:rsidRDefault="00426EC8" w:rsidP="00426EC8">
            <w:pPr>
              <w:pStyle w:val="Paragrafoelenco"/>
              <w:ind w:left="360"/>
              <w:jc w:val="right"/>
              <w:rPr>
                <w:rFonts w:ascii="Book Antiqua" w:eastAsia="Times New Roman" w:hAnsi="Book Antiqua" w:cs="Times New Roman"/>
                <w:i/>
                <w:spacing w:val="-4"/>
                <w:sz w:val="40"/>
                <w:szCs w:val="40"/>
                <w:rtl/>
                <w:lang w:bidi="ar-SY"/>
              </w:rPr>
            </w:pPr>
            <w:r w:rsidRPr="0069126B">
              <w:rPr>
                <w:rFonts w:ascii="Book Antiqua" w:eastAsia="Times New Roman" w:hAnsi="Book Antiqua" w:cs="Times New Roman" w:hint="cs"/>
                <w:i/>
                <w:color w:val="FF0000"/>
                <w:spacing w:val="-4"/>
                <w:sz w:val="40"/>
                <w:szCs w:val="40"/>
                <w:rtl/>
                <w:lang w:bidi="ar-SY"/>
              </w:rPr>
              <w:lastRenderedPageBreak/>
              <w:t>اللغة العربية</w:t>
            </w:r>
          </w:p>
          <w:p w:rsidR="00426EC8" w:rsidRPr="00BC3D8D" w:rsidRDefault="00426EC8" w:rsidP="00426EC8">
            <w:pPr>
              <w:pStyle w:val="Paragrafoelenco"/>
              <w:ind w:left="360"/>
              <w:jc w:val="right"/>
              <w:rPr>
                <w:rFonts w:ascii="Book Antiqua" w:eastAsia="Times New Roman" w:hAnsi="Book Antiqua" w:cs="Times New Roman"/>
                <w:i/>
                <w:spacing w:val="-4"/>
                <w:sz w:val="36"/>
                <w:szCs w:val="36"/>
                <w:rtl/>
                <w:lang w:bidi="ar-SY"/>
              </w:rPr>
            </w:pPr>
          </w:p>
          <w:p w:rsidR="00426EC8" w:rsidRDefault="00426EC8" w:rsidP="00426EC8">
            <w:p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</w:pP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حقوق\قدرات المتهم الذي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صدر في حقه  قرار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حبس وقائي وفقا للمادة 293 من قانون الإجراءات الجنائية:</w:t>
            </w:r>
          </w:p>
          <w:p w:rsidR="00426EC8" w:rsidRPr="006C79C6" w:rsidRDefault="00426EC8" w:rsidP="00426EC8">
            <w:p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</w:pP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</w:pP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إمكانية 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تعيين محام خاص \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ال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تمتع بالمعاونة القانونية المجانية  على حساب الدولة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وقفا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ل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ما نص عليه في القانون؛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 </w:t>
            </w:r>
          </w:p>
          <w:p w:rsidR="00426EC8" w:rsidRPr="006C79C6" w:rsidRDefault="00426EC8" w:rsidP="00426EC8">
            <w:pPr>
              <w:pStyle w:val="Corpodeltesto3"/>
              <w:numPr>
                <w:ilvl w:val="0"/>
                <w:numId w:val="3"/>
              </w:numPr>
              <w:tabs>
                <w:tab w:val="clear" w:pos="720"/>
              </w:tabs>
              <w:ind w:left="-993" w:right="-568" w:hanging="2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79C6">
              <w:rPr>
                <w:rFonts w:ascii="Book Antiqua" w:hAnsi="Book Antiqua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        الحق في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إعلام المتهم</w:t>
            </w:r>
            <w:r w:rsidRPr="006C79C6">
              <w:rPr>
                <w:rFonts w:ascii="Times New Roman" w:hAnsi="Times New Roman" w:hint="cs"/>
                <w:sz w:val="28"/>
                <w:szCs w:val="28"/>
                <w:rtl/>
              </w:rPr>
              <w:t xml:space="preserve"> بطبيعة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التهمة</w:t>
            </w:r>
            <w:r w:rsidRPr="006C79C6"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الموجهة إليه </w:t>
            </w:r>
            <w:r w:rsidRPr="006C79C6">
              <w:rPr>
                <w:rFonts w:ascii="Times New Roman" w:hAnsi="Times New Roman" w:hint="cs"/>
                <w:sz w:val="28"/>
                <w:szCs w:val="28"/>
                <w:rtl/>
              </w:rPr>
              <w:t>وأسباب</w:t>
            </w:r>
            <w:r>
              <w:rPr>
                <w:rFonts w:ascii="Times New Roman" w:hAnsi="Times New Roman" w:hint="cs"/>
                <w:sz w:val="28"/>
                <w:szCs w:val="28"/>
                <w:rtl/>
              </w:rPr>
              <w:t>ها</w:t>
            </w:r>
            <w:r w:rsidRPr="006C79C6">
              <w:rPr>
                <w:rFonts w:ascii="Times New Roman" w:hAnsi="Times New Roman" w:hint="cs"/>
                <w:sz w:val="28"/>
                <w:szCs w:val="28"/>
                <w:rtl/>
              </w:rPr>
              <w:t>؛</w:t>
            </w:r>
          </w:p>
          <w:p w:rsidR="00426EC8" w:rsidRPr="00E758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الحق في </w:t>
            </w:r>
            <w:r w:rsidRPr="00E758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الحصول على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 xml:space="preserve">مساعدة مترجم و على </w:t>
            </w:r>
            <w:r w:rsidRPr="00E758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ترجمة إجراءات أساسية؛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حق المتهم  في الصمت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  <w:lang w:bidi="ar-SY"/>
              </w:rPr>
              <w:t>؛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الحق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في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الحصول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على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الوثائق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التي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يستند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إليها</w:t>
            </w:r>
            <w:r w:rsidRPr="00055269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055269">
              <w:rPr>
                <w:rFonts w:ascii="Book Antiqua" w:hAnsi="Book Antiqua" w:cs="Times New Roman" w:hint="eastAsia"/>
                <w:i/>
                <w:spacing w:val="-4"/>
                <w:sz w:val="28"/>
                <w:szCs w:val="28"/>
                <w:rtl/>
              </w:rPr>
              <w:t>القرار</w:t>
            </w:r>
            <w:r w:rsidRPr="00055269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؛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الحق في إخبار السلطات القنصلية  وإعلام  الأقرباء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الحق في الحصول على الرعاية الطبية العاجلة؛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</w:rPr>
            </w:pP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الحق في الحضور أمام السلطات القضائية خلال 5 أيام  من بداية تنفيذ الإجراء </w:t>
            </w:r>
            <w:r w:rsidRPr="006C79C6"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  <w:t>–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في حالة الحبس الوقائي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-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أو خلال 10 أيام في حالة تنفيذ إجراء وقائي أخر؛</w:t>
            </w:r>
          </w:p>
          <w:p w:rsidR="00426EC8" w:rsidRPr="006C79C6" w:rsidRDefault="00426EC8" w:rsidP="00426EC8">
            <w:pPr>
              <w:pStyle w:val="Paragrafoelenco"/>
              <w:numPr>
                <w:ilvl w:val="0"/>
                <w:numId w:val="2"/>
              </w:numPr>
              <w:jc w:val="right"/>
              <w:rPr>
                <w:rFonts w:ascii="Book Antiqua" w:hAnsi="Book Antiqua" w:cs="Times New Roman"/>
                <w:i/>
                <w:spacing w:val="-4"/>
                <w:sz w:val="28"/>
                <w:szCs w:val="28"/>
                <w:rtl/>
              </w:rPr>
            </w:pP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الحق في الحضور أمام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المحكمة للاستجواب\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تقديم طعن في قرار الإجراء الوقائي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و طلب </w:t>
            </w:r>
            <w:r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>تبديله</w:t>
            </w:r>
            <w:r w:rsidRPr="006C79C6">
              <w:rPr>
                <w:rFonts w:ascii="Book Antiqua" w:hAnsi="Book Antiqua" w:cs="Times New Roman" w:hint="cs"/>
                <w:i/>
                <w:spacing w:val="-4"/>
                <w:sz w:val="28"/>
                <w:szCs w:val="28"/>
                <w:rtl/>
              </w:rPr>
              <w:t xml:space="preserve"> \ إبطاله</w:t>
            </w:r>
          </w:p>
          <w:p w:rsidR="00426EC8" w:rsidRDefault="00426EC8" w:rsidP="00426EC8">
            <w:pPr>
              <w:jc w:val="both"/>
              <w:rPr>
                <w:rFonts w:ascii="Book Antiqua" w:hAnsi="Book Antiqua"/>
                <w:spacing w:val="-4"/>
                <w:sz w:val="24"/>
                <w:szCs w:val="24"/>
              </w:rPr>
            </w:pPr>
          </w:p>
        </w:tc>
      </w:tr>
    </w:tbl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</w:p>
    <w:p w:rsidR="00426EC8" w:rsidRDefault="00426EC8" w:rsidP="00426EC8">
      <w:pPr>
        <w:ind w:left="357"/>
        <w:jc w:val="both"/>
        <w:rPr>
          <w:rFonts w:ascii="Book Antiqua" w:hAnsi="Book Antiqua"/>
          <w:spacing w:val="-4"/>
          <w:sz w:val="24"/>
          <w:szCs w:val="24"/>
        </w:rPr>
      </w:pPr>
      <w:proofErr w:type="gramStart"/>
      <w:r>
        <w:rPr>
          <w:rFonts w:ascii="Book Antiqua" w:hAnsi="Book Antiqua"/>
          <w:spacing w:val="-4"/>
          <w:sz w:val="24"/>
          <w:szCs w:val="24"/>
        </w:rPr>
        <w:t>Di  quanto</w:t>
      </w:r>
      <w:proofErr w:type="gramEnd"/>
      <w:r>
        <w:rPr>
          <w:rFonts w:ascii="Book Antiqua" w:hAnsi="Book Antiqua"/>
          <w:spacing w:val="-4"/>
          <w:sz w:val="24"/>
          <w:szCs w:val="24"/>
        </w:rPr>
        <w:t xml:space="preserve"> sopra è verbale che viene letto confermato e sottoscritto in data e luogo di cui sopra.-----//</w:t>
      </w:r>
    </w:p>
    <w:sectPr w:rsidR="00426EC8" w:rsidSect="00DE7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605"/>
    <w:multiLevelType w:val="singleLevel"/>
    <w:tmpl w:val="0292EF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</w:abstractNum>
  <w:abstractNum w:abstractNumId="1" w15:restartNumberingAfterBreak="0">
    <w:nsid w:val="22252B4C"/>
    <w:multiLevelType w:val="hybridMultilevel"/>
    <w:tmpl w:val="8C96D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2B43"/>
    <w:multiLevelType w:val="hybridMultilevel"/>
    <w:tmpl w:val="E03AB96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726252"/>
    <w:multiLevelType w:val="hybridMultilevel"/>
    <w:tmpl w:val="BCE6337E"/>
    <w:lvl w:ilvl="0" w:tplc="EF6A4C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80292"/>
    <w:multiLevelType w:val="hybridMultilevel"/>
    <w:tmpl w:val="01125D50"/>
    <w:lvl w:ilvl="0" w:tplc="45D0CD14">
      <w:start w:val="13"/>
      <w:numFmt w:val="bullet"/>
      <w:lvlText w:val="-"/>
      <w:lvlJc w:val="left"/>
      <w:pPr>
        <w:ind w:left="717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7F941C0A"/>
    <w:multiLevelType w:val="hybridMultilevel"/>
    <w:tmpl w:val="CC86DAD4"/>
    <w:lvl w:ilvl="0" w:tplc="7F0ED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26EC8"/>
    <w:rsid w:val="000B6557"/>
    <w:rsid w:val="00194474"/>
    <w:rsid w:val="001D7A47"/>
    <w:rsid w:val="00241F2B"/>
    <w:rsid w:val="00317101"/>
    <w:rsid w:val="0033277A"/>
    <w:rsid w:val="003931E4"/>
    <w:rsid w:val="00421FA8"/>
    <w:rsid w:val="00426EC8"/>
    <w:rsid w:val="0048131C"/>
    <w:rsid w:val="00577425"/>
    <w:rsid w:val="005B58C9"/>
    <w:rsid w:val="00946208"/>
    <w:rsid w:val="00AB1128"/>
    <w:rsid w:val="00DE7BD4"/>
    <w:rsid w:val="00E16D20"/>
    <w:rsid w:val="00F825E0"/>
    <w:rsid w:val="00F8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E2B"/>
  <w15:docId w15:val="{FDD5A66F-21A1-41DD-A922-8545B007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6EC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6EC8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426EC8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426EC8"/>
    <w:rPr>
      <w:rFonts w:ascii="Arial" w:eastAsia="Times New Roman" w:hAnsi="Arial" w:cs="Times New Roman"/>
      <w:szCs w:val="20"/>
      <w:lang w:eastAsia="it-IT"/>
    </w:rPr>
  </w:style>
  <w:style w:type="paragraph" w:styleId="Didascalia">
    <w:name w:val="caption"/>
    <w:basedOn w:val="Normale"/>
    <w:next w:val="Normale"/>
    <w:qFormat/>
    <w:rsid w:val="00426EC8"/>
    <w:pPr>
      <w:spacing w:after="0" w:line="320" w:lineRule="exact"/>
      <w:jc w:val="center"/>
    </w:pPr>
    <w:rPr>
      <w:rFonts w:ascii="Times New Roman" w:eastAsia="Times New Roman" w:hAnsi="Times New Roman" w:cs="Times New Roman"/>
      <w:position w:val="-6"/>
      <w:sz w:val="48"/>
      <w:szCs w:val="20"/>
    </w:rPr>
  </w:style>
  <w:style w:type="character" w:styleId="Collegamentoipertestuale">
    <w:name w:val="Hyperlink"/>
    <w:uiPriority w:val="99"/>
    <w:unhideWhenUsed/>
    <w:rsid w:val="00426EC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EC8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2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984801ra</dc:creator>
  <cp:lastModifiedBy>Alessandro Manco</cp:lastModifiedBy>
  <cp:revision>3</cp:revision>
  <dcterms:created xsi:type="dcterms:W3CDTF">2014-09-12T13:16:00Z</dcterms:created>
  <dcterms:modified xsi:type="dcterms:W3CDTF">2020-03-03T17:32:00Z</dcterms:modified>
</cp:coreProperties>
</file>